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5C2DD" w14:textId="035DAF41" w:rsidR="00757806" w:rsidRDefault="00AD5D82" w:rsidP="00A949C8">
      <w:pPr>
        <w:rPr>
          <w:rFonts w:ascii="Calibri" w:hAnsi="Calibri" w:cs="Calibri"/>
          <w:b/>
          <w:bCs/>
          <w:i/>
          <w:position w:val="10"/>
          <w:sz w:val="40"/>
          <w:szCs w:val="36"/>
        </w:rPr>
      </w:pPr>
      <w:r>
        <w:rPr>
          <w:rFonts w:ascii="Calibri" w:hAnsi="Calibri" w:cs="Calibri"/>
          <w:b/>
          <w:bCs/>
          <w:i/>
          <w:noProof/>
          <w:position w:val="10"/>
          <w:sz w:val="40"/>
          <w:szCs w:val="36"/>
        </w:rPr>
        <w:drawing>
          <wp:inline distT="0" distB="0" distL="0" distR="0" wp14:anchorId="3C19097C" wp14:editId="5502790B">
            <wp:extent cx="2651125" cy="1141730"/>
            <wp:effectExtent l="0" t="0" r="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opheesCFP_ICO_201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14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17007" w14:textId="77777777" w:rsidR="00757806" w:rsidRDefault="00757806">
      <w:pPr>
        <w:rPr>
          <w:rFonts w:ascii="Calibri" w:hAnsi="Calibri" w:cs="Calibri"/>
          <w:b/>
          <w:bCs/>
          <w:i/>
          <w:position w:val="10"/>
          <w:sz w:val="40"/>
          <w:szCs w:val="36"/>
        </w:rPr>
      </w:pPr>
    </w:p>
    <w:p w14:paraId="1C838AEC" w14:textId="5A7E959B" w:rsidR="00B27203" w:rsidRPr="00C06016" w:rsidRDefault="00693E55">
      <w:pPr>
        <w:rPr>
          <w:rFonts w:ascii="Calibri" w:hAnsi="Calibri" w:cs="Calibri"/>
          <w:b/>
          <w:bCs/>
          <w:sz w:val="40"/>
          <w:szCs w:val="16"/>
        </w:rPr>
      </w:pPr>
      <w:r w:rsidRPr="00693E55">
        <w:rPr>
          <w:rFonts w:ascii="Calibri" w:hAnsi="Calibri" w:cs="Calibri"/>
          <w:b/>
          <w:bCs/>
          <w:i/>
          <w:color w:val="FFC000" w:themeColor="accent4"/>
          <w:position w:val="10"/>
          <w:sz w:val="72"/>
          <w:szCs w:val="36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  <w:t>É</w:t>
      </w:r>
      <w:r w:rsidR="00C06016" w:rsidRPr="00693E55">
        <w:rPr>
          <w:rFonts w:ascii="Calibri" w:hAnsi="Calibri" w:cs="Calibri"/>
          <w:b/>
          <w:bCs/>
          <w:i/>
          <w:color w:val="FFC000" w:themeColor="accent4"/>
          <w:position w:val="10"/>
          <w:sz w:val="72"/>
          <w:szCs w:val="36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  <w:t>dition</w:t>
      </w:r>
      <w:r w:rsidR="00C06016" w:rsidRPr="00693E55">
        <w:rPr>
          <w:rFonts w:ascii="Calibri" w:hAnsi="Calibri" w:cs="Calibri"/>
          <w:b/>
          <w:bCs/>
          <w:i/>
          <w:color w:val="BF8F00" w:themeColor="accent4" w:themeShade="BF"/>
          <w:position w:val="10"/>
          <w:sz w:val="72"/>
          <w:szCs w:val="36"/>
        </w:rPr>
        <w:t xml:space="preserve"> 201</w:t>
      </w:r>
      <w:r w:rsidR="009C266C">
        <w:rPr>
          <w:rFonts w:ascii="Calibri" w:hAnsi="Calibri" w:cs="Calibri"/>
          <w:b/>
          <w:bCs/>
          <w:i/>
          <w:color w:val="BF8F00" w:themeColor="accent4" w:themeShade="BF"/>
          <w:position w:val="10"/>
          <w:sz w:val="72"/>
          <w:szCs w:val="36"/>
        </w:rPr>
        <w:t>9</w:t>
      </w:r>
    </w:p>
    <w:p w14:paraId="7D75330F" w14:textId="77777777" w:rsidR="00757806" w:rsidRDefault="00757806">
      <w:pPr>
        <w:rPr>
          <w:rFonts w:ascii="Calibri" w:hAnsi="Calibri" w:cs="Calibri"/>
          <w:b/>
          <w:bCs/>
          <w:i/>
          <w:sz w:val="36"/>
          <w:szCs w:val="36"/>
          <w:u w:val="single"/>
        </w:rPr>
        <w:sectPr w:rsidR="00757806" w:rsidSect="00757806">
          <w:headerReference w:type="default" r:id="rId8"/>
          <w:footerReference w:type="default" r:id="rId9"/>
          <w:pgSz w:w="11906" w:h="16838"/>
          <w:pgMar w:top="851" w:right="1418" w:bottom="1418" w:left="1418" w:header="709" w:footer="709" w:gutter="0"/>
          <w:cols w:num="2" w:space="720"/>
          <w:formProt w:val="0"/>
          <w:docGrid w:linePitch="360" w:charSpace="-6145"/>
        </w:sectPr>
      </w:pPr>
    </w:p>
    <w:p w14:paraId="1434B08D" w14:textId="77777777" w:rsidR="00B27203" w:rsidRPr="004E6294" w:rsidRDefault="00515580">
      <w:pPr>
        <w:rPr>
          <w:rFonts w:ascii="Calibri" w:hAnsi="Calibri" w:cs="Calibri"/>
          <w:b/>
          <w:bCs/>
          <w:u w:val="single"/>
        </w:rPr>
      </w:pPr>
      <w:r w:rsidRPr="004E6294">
        <w:rPr>
          <w:rFonts w:ascii="Calibri" w:hAnsi="Calibri" w:cs="Calibri"/>
          <w:b/>
          <w:bCs/>
          <w:i/>
          <w:u w:val="single"/>
        </w:rPr>
        <w:t>Le règlement</w:t>
      </w:r>
      <w:r w:rsidR="00C06016" w:rsidRPr="004E6294">
        <w:rPr>
          <w:rFonts w:ascii="Calibri" w:hAnsi="Calibri" w:cs="Calibri"/>
          <w:b/>
          <w:bCs/>
          <w:i/>
        </w:rPr>
        <w:t xml:space="preserve"> </w:t>
      </w:r>
      <w:r w:rsidRPr="004E6294">
        <w:rPr>
          <w:rFonts w:ascii="Calibri" w:hAnsi="Calibri" w:cs="Calibri"/>
          <w:bCs/>
        </w:rPr>
        <w:t xml:space="preserve">pour </w:t>
      </w:r>
      <w:r w:rsidR="00693E55" w:rsidRPr="004E6294">
        <w:rPr>
          <w:rFonts w:ascii="Calibri" w:hAnsi="Calibri" w:cs="Calibri"/>
          <w:bCs/>
        </w:rPr>
        <w:t>participer au concours</w:t>
      </w:r>
    </w:p>
    <w:p w14:paraId="4465CC7E" w14:textId="77777777" w:rsidR="00A949C8" w:rsidRDefault="00A949C8">
      <w:pPr>
        <w:rPr>
          <w:rFonts w:ascii="Calibri" w:hAnsi="Calibri" w:cs="Calibri"/>
          <w:b/>
          <w:bCs/>
          <w:sz w:val="20"/>
          <w:szCs w:val="22"/>
          <w:u w:val="single"/>
        </w:rPr>
      </w:pPr>
    </w:p>
    <w:p w14:paraId="1062CB41" w14:textId="39B238D5" w:rsidR="00B27203" w:rsidRPr="00757806" w:rsidRDefault="00515580">
      <w:pPr>
        <w:rPr>
          <w:rFonts w:ascii="Calibri" w:hAnsi="Calibri" w:cs="Calibri"/>
          <w:bCs/>
          <w:sz w:val="20"/>
          <w:szCs w:val="22"/>
        </w:rPr>
      </w:pPr>
      <w:r w:rsidRPr="00757806">
        <w:rPr>
          <w:rFonts w:ascii="Calibri" w:hAnsi="Calibri" w:cs="Calibri"/>
          <w:b/>
          <w:bCs/>
          <w:sz w:val="20"/>
          <w:szCs w:val="22"/>
          <w:u w:val="single"/>
        </w:rPr>
        <w:t>Article 1</w:t>
      </w:r>
      <w:r w:rsidRPr="00757806">
        <w:rPr>
          <w:rFonts w:ascii="Calibri" w:hAnsi="Calibri" w:cs="Calibri"/>
          <w:b/>
          <w:bCs/>
          <w:sz w:val="20"/>
          <w:szCs w:val="22"/>
        </w:rPr>
        <w:t xml:space="preserve"> – Objet. </w:t>
      </w:r>
      <w:r w:rsidRPr="00757806">
        <w:rPr>
          <w:rFonts w:ascii="Calibri" w:hAnsi="Calibri" w:cs="Calibri"/>
          <w:bCs/>
          <w:sz w:val="20"/>
          <w:szCs w:val="22"/>
        </w:rPr>
        <w:t xml:space="preserve">L’association ICO et le magazine CFP </w:t>
      </w:r>
      <w:r w:rsidR="00306CF9">
        <w:rPr>
          <w:rFonts w:ascii="Calibri" w:hAnsi="Calibri" w:cs="Calibri"/>
          <w:bCs/>
          <w:sz w:val="20"/>
          <w:szCs w:val="22"/>
        </w:rPr>
        <w:t>-</w:t>
      </w:r>
      <w:r w:rsidRPr="00757806">
        <w:rPr>
          <w:rFonts w:ascii="Calibri" w:hAnsi="Calibri" w:cs="Calibri"/>
          <w:bCs/>
          <w:sz w:val="20"/>
          <w:szCs w:val="22"/>
        </w:rPr>
        <w:t xml:space="preserve"> Chaud Froid Performance </w:t>
      </w:r>
      <w:r w:rsidR="00306CF9">
        <w:rPr>
          <w:rFonts w:ascii="Calibri" w:hAnsi="Calibri" w:cs="Calibri"/>
          <w:bCs/>
          <w:sz w:val="20"/>
          <w:szCs w:val="22"/>
        </w:rPr>
        <w:t xml:space="preserve">- </w:t>
      </w:r>
      <w:r w:rsidRPr="00757806">
        <w:rPr>
          <w:rFonts w:ascii="Calibri" w:hAnsi="Calibri" w:cs="Calibri"/>
          <w:bCs/>
          <w:sz w:val="20"/>
          <w:szCs w:val="22"/>
        </w:rPr>
        <w:t xml:space="preserve">organisent le concours nommé </w:t>
      </w:r>
      <w:r w:rsidRPr="00757806">
        <w:rPr>
          <w:rFonts w:ascii="Calibri" w:hAnsi="Calibri" w:cs="Calibri"/>
          <w:b/>
          <w:bCs/>
          <w:sz w:val="20"/>
          <w:szCs w:val="22"/>
        </w:rPr>
        <w:t>« Les Trophées de l’Ingénierie Performante 201</w:t>
      </w:r>
      <w:r w:rsidR="009C266C">
        <w:rPr>
          <w:rFonts w:ascii="Calibri" w:hAnsi="Calibri" w:cs="Calibri"/>
          <w:b/>
          <w:bCs/>
          <w:sz w:val="20"/>
          <w:szCs w:val="22"/>
        </w:rPr>
        <w:t>9</w:t>
      </w:r>
      <w:r w:rsidRPr="00757806">
        <w:rPr>
          <w:rFonts w:ascii="Calibri" w:hAnsi="Calibri" w:cs="Calibri"/>
          <w:b/>
          <w:bCs/>
          <w:sz w:val="20"/>
          <w:szCs w:val="22"/>
        </w:rPr>
        <w:t> </w:t>
      </w:r>
      <w:r w:rsidR="00693E55" w:rsidRPr="00757806">
        <w:rPr>
          <w:rFonts w:ascii="Calibri" w:hAnsi="Calibri" w:cs="Calibri"/>
          <w:b/>
          <w:bCs/>
          <w:sz w:val="20"/>
          <w:szCs w:val="22"/>
        </w:rPr>
        <w:t xml:space="preserve">CFP-ICO </w:t>
      </w:r>
      <w:r w:rsidRPr="00757806">
        <w:rPr>
          <w:rFonts w:ascii="Calibri" w:hAnsi="Calibri" w:cs="Calibri"/>
          <w:b/>
          <w:bCs/>
          <w:sz w:val="20"/>
          <w:szCs w:val="22"/>
        </w:rPr>
        <w:t>»</w:t>
      </w:r>
      <w:r w:rsidRPr="00757806">
        <w:rPr>
          <w:rFonts w:ascii="Calibri" w:hAnsi="Calibri" w:cs="Calibri"/>
          <w:bCs/>
          <w:sz w:val="20"/>
          <w:szCs w:val="22"/>
        </w:rPr>
        <w:t>.</w:t>
      </w:r>
      <w:r w:rsidR="00757806">
        <w:rPr>
          <w:rFonts w:ascii="Calibri" w:hAnsi="Calibri" w:cs="Calibri"/>
          <w:bCs/>
          <w:sz w:val="20"/>
          <w:szCs w:val="22"/>
        </w:rPr>
        <w:t xml:space="preserve"> </w:t>
      </w:r>
      <w:r w:rsidRPr="00757806">
        <w:rPr>
          <w:rFonts w:ascii="Calibri" w:hAnsi="Calibri" w:cs="Calibri"/>
          <w:bCs/>
          <w:sz w:val="20"/>
          <w:szCs w:val="22"/>
        </w:rPr>
        <w:t xml:space="preserve">Cet événement biennal a pour objet de mettre en avant la </w:t>
      </w:r>
      <w:r w:rsidRPr="00757806">
        <w:rPr>
          <w:rFonts w:ascii="Calibri" w:hAnsi="Calibri" w:cs="Calibri"/>
          <w:b/>
          <w:bCs/>
          <w:sz w:val="20"/>
          <w:szCs w:val="22"/>
        </w:rPr>
        <w:t>conception énergétique et thermique</w:t>
      </w:r>
      <w:r w:rsidRPr="00757806">
        <w:rPr>
          <w:rFonts w:ascii="Calibri" w:hAnsi="Calibri" w:cs="Calibri"/>
          <w:bCs/>
          <w:sz w:val="20"/>
          <w:szCs w:val="22"/>
        </w:rPr>
        <w:t xml:space="preserve"> d’opérations de construction ou de rénovation performantes et de récompenser la qualité du management de projet mené par les maitres d’œuvre en phase 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de </w:t>
      </w:r>
      <w:r w:rsidRPr="00757806">
        <w:rPr>
          <w:rFonts w:ascii="Calibri" w:hAnsi="Calibri" w:cs="Calibri"/>
          <w:bCs/>
          <w:sz w:val="20"/>
          <w:szCs w:val="22"/>
        </w:rPr>
        <w:t xml:space="preserve">conception et 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de </w:t>
      </w:r>
      <w:r w:rsidRPr="00757806">
        <w:rPr>
          <w:rFonts w:ascii="Calibri" w:hAnsi="Calibri" w:cs="Calibri"/>
          <w:bCs/>
          <w:sz w:val="20"/>
          <w:szCs w:val="22"/>
        </w:rPr>
        <w:t xml:space="preserve">suivi de chantier. </w:t>
      </w:r>
    </w:p>
    <w:p w14:paraId="391C290C" w14:textId="77777777" w:rsidR="00B27203" w:rsidRPr="00757806" w:rsidRDefault="00B27203">
      <w:pPr>
        <w:rPr>
          <w:rFonts w:ascii="Calibri" w:hAnsi="Calibri" w:cs="Calibri"/>
          <w:bCs/>
          <w:sz w:val="20"/>
          <w:szCs w:val="22"/>
        </w:rPr>
      </w:pPr>
    </w:p>
    <w:p w14:paraId="085F8030" w14:textId="213C4FA6" w:rsidR="00693E55" w:rsidRPr="00757806" w:rsidRDefault="00515580" w:rsidP="00693E55">
      <w:pPr>
        <w:rPr>
          <w:rFonts w:ascii="Calibri" w:hAnsi="Calibri" w:cs="Calibri"/>
          <w:bCs/>
          <w:sz w:val="20"/>
          <w:szCs w:val="22"/>
        </w:rPr>
      </w:pPr>
      <w:r w:rsidRPr="00757806">
        <w:rPr>
          <w:rFonts w:ascii="Calibri" w:hAnsi="Calibri" w:cs="Calibri"/>
          <w:b/>
          <w:bCs/>
          <w:sz w:val="20"/>
          <w:szCs w:val="22"/>
          <w:u w:val="single"/>
        </w:rPr>
        <w:t>Article 2</w:t>
      </w:r>
      <w:r w:rsidRPr="00757806">
        <w:rPr>
          <w:rFonts w:ascii="Calibri" w:hAnsi="Calibri" w:cs="Calibri"/>
          <w:b/>
          <w:bCs/>
          <w:sz w:val="20"/>
          <w:szCs w:val="22"/>
        </w:rPr>
        <w:t xml:space="preserve"> – </w:t>
      </w:r>
      <w:r w:rsidR="00693E55" w:rsidRPr="00757806">
        <w:rPr>
          <w:rFonts w:ascii="Calibri" w:hAnsi="Calibri" w:cs="Calibri"/>
          <w:b/>
          <w:bCs/>
          <w:sz w:val="20"/>
          <w:szCs w:val="22"/>
        </w:rPr>
        <w:t>Organisation du concours.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 Le concours « Les Trophées de l’Ingénierie Performante » est administré conjointement par l’association ICO et le magazine CFP. Ils assurent le secrétariat du concours – information sur son déroulement, mise à disposition des dossiers de réponse, envoi de dossier de candidature, réception et gestion des dossiers adressés par les concurrents –, l’organisation du jury et l’organisation de la remise des prix.</w:t>
      </w:r>
      <w:r w:rsidR="0079416C">
        <w:rPr>
          <w:rFonts w:ascii="Calibri" w:hAnsi="Calibri" w:cs="Calibri"/>
          <w:bCs/>
          <w:sz w:val="20"/>
          <w:szCs w:val="22"/>
        </w:rPr>
        <w:t xml:space="preserve"> </w:t>
      </w:r>
      <w:r w:rsidR="00693E55" w:rsidRPr="00757806">
        <w:rPr>
          <w:rFonts w:ascii="Calibri" w:hAnsi="Calibri" w:cs="Calibri"/>
          <w:bCs/>
          <w:sz w:val="20"/>
          <w:szCs w:val="22"/>
        </w:rPr>
        <w:t>Le concours est ouvert à compter du 1</w:t>
      </w:r>
      <w:r w:rsidR="00693E55" w:rsidRPr="00757806">
        <w:rPr>
          <w:rFonts w:ascii="Calibri" w:hAnsi="Calibri" w:cs="Calibri"/>
          <w:bCs/>
          <w:sz w:val="20"/>
          <w:szCs w:val="22"/>
          <w:vertAlign w:val="superscript"/>
        </w:rPr>
        <w:t>er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 avril 201</w:t>
      </w:r>
      <w:r w:rsidR="009C266C">
        <w:rPr>
          <w:rFonts w:ascii="Calibri" w:hAnsi="Calibri" w:cs="Calibri"/>
          <w:bCs/>
          <w:sz w:val="20"/>
          <w:szCs w:val="22"/>
        </w:rPr>
        <w:t>9</w:t>
      </w:r>
      <w:r w:rsidR="00693E55" w:rsidRPr="00757806">
        <w:rPr>
          <w:rFonts w:ascii="Calibri" w:hAnsi="Calibri" w:cs="Calibri"/>
          <w:bCs/>
          <w:sz w:val="20"/>
          <w:szCs w:val="22"/>
        </w:rPr>
        <w:t>. La clôture des dépôts de dossiers est fixée au 15 septembre 201</w:t>
      </w:r>
      <w:r w:rsidR="009C266C">
        <w:rPr>
          <w:rFonts w:ascii="Calibri" w:hAnsi="Calibri" w:cs="Calibri"/>
          <w:bCs/>
          <w:sz w:val="20"/>
          <w:szCs w:val="22"/>
        </w:rPr>
        <w:t>9</w:t>
      </w:r>
      <w:r w:rsidR="00693E55" w:rsidRPr="00757806">
        <w:rPr>
          <w:rFonts w:ascii="Calibri" w:hAnsi="Calibri" w:cs="Calibri"/>
          <w:bCs/>
          <w:sz w:val="20"/>
          <w:szCs w:val="22"/>
        </w:rPr>
        <w:t>.</w:t>
      </w:r>
      <w:r w:rsidR="00124D8D" w:rsidRPr="00757806">
        <w:rPr>
          <w:rFonts w:ascii="Calibri" w:hAnsi="Calibri" w:cs="Calibri"/>
          <w:bCs/>
          <w:sz w:val="20"/>
          <w:szCs w:val="22"/>
        </w:rPr>
        <w:t xml:space="preserve"> Les organisateurs se réservent le droit d’accepter des dossiers en retard passé ce délai et jusqu’à la veille de la date prévue pour la délibération du jury.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 La délibération du jury aura lieu en octobre 201</w:t>
      </w:r>
      <w:r w:rsidR="009C266C">
        <w:rPr>
          <w:rFonts w:ascii="Calibri" w:hAnsi="Calibri" w:cs="Calibri"/>
          <w:bCs/>
          <w:sz w:val="20"/>
          <w:szCs w:val="22"/>
        </w:rPr>
        <w:t>9</w:t>
      </w:r>
      <w:r w:rsidR="00693E55" w:rsidRPr="00757806">
        <w:rPr>
          <w:rFonts w:ascii="Calibri" w:hAnsi="Calibri" w:cs="Calibri"/>
          <w:bCs/>
          <w:sz w:val="20"/>
          <w:szCs w:val="22"/>
        </w:rPr>
        <w:t>.</w:t>
      </w:r>
      <w:r w:rsidR="0079416C">
        <w:rPr>
          <w:rFonts w:ascii="Calibri" w:hAnsi="Calibri" w:cs="Calibri"/>
          <w:bCs/>
          <w:sz w:val="20"/>
          <w:szCs w:val="22"/>
        </w:rPr>
        <w:t xml:space="preserve"> 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La remise des prix aura lieu lors du salon </w:t>
      </w:r>
      <w:proofErr w:type="spellStart"/>
      <w:r w:rsidR="00693E55" w:rsidRPr="00757806">
        <w:rPr>
          <w:rFonts w:ascii="Calibri" w:hAnsi="Calibri" w:cs="Calibri"/>
          <w:bCs/>
          <w:sz w:val="20"/>
          <w:szCs w:val="22"/>
        </w:rPr>
        <w:t>Interclima+Elec</w:t>
      </w:r>
      <w:proofErr w:type="spellEnd"/>
      <w:r w:rsidR="00693E55" w:rsidRPr="00757806">
        <w:rPr>
          <w:rFonts w:ascii="Calibri" w:hAnsi="Calibri" w:cs="Calibri"/>
          <w:bCs/>
          <w:sz w:val="20"/>
          <w:szCs w:val="22"/>
        </w:rPr>
        <w:t>, en novembre 201</w:t>
      </w:r>
      <w:r w:rsidR="009C266C">
        <w:rPr>
          <w:rFonts w:ascii="Calibri" w:hAnsi="Calibri" w:cs="Calibri"/>
          <w:bCs/>
          <w:sz w:val="20"/>
          <w:szCs w:val="22"/>
        </w:rPr>
        <w:t>9</w:t>
      </w:r>
      <w:r w:rsidR="00693E55" w:rsidRPr="00757806">
        <w:rPr>
          <w:rFonts w:ascii="Calibri" w:hAnsi="Calibri" w:cs="Calibri"/>
          <w:bCs/>
          <w:sz w:val="20"/>
          <w:szCs w:val="22"/>
        </w:rPr>
        <w:t>.</w:t>
      </w:r>
    </w:p>
    <w:p w14:paraId="52C56836" w14:textId="77777777" w:rsidR="00693E55" w:rsidRPr="00757806" w:rsidRDefault="00693E55">
      <w:pPr>
        <w:rPr>
          <w:rFonts w:ascii="Calibri" w:hAnsi="Calibri" w:cs="Calibri"/>
          <w:b/>
          <w:bCs/>
          <w:sz w:val="20"/>
          <w:szCs w:val="22"/>
        </w:rPr>
      </w:pPr>
    </w:p>
    <w:p w14:paraId="7A3BB0FC" w14:textId="77777777" w:rsidR="00693E55" w:rsidRPr="00757806" w:rsidRDefault="00515580">
      <w:pPr>
        <w:rPr>
          <w:rFonts w:ascii="Calibri" w:hAnsi="Calibri" w:cs="Calibri"/>
          <w:b/>
          <w:bCs/>
          <w:sz w:val="20"/>
          <w:szCs w:val="22"/>
        </w:rPr>
      </w:pPr>
      <w:r w:rsidRPr="00757806">
        <w:rPr>
          <w:rFonts w:ascii="Calibri" w:hAnsi="Calibri" w:cs="Calibri"/>
          <w:b/>
          <w:bCs/>
          <w:sz w:val="20"/>
          <w:szCs w:val="22"/>
          <w:u w:val="single"/>
        </w:rPr>
        <w:t>Article 3</w:t>
      </w:r>
      <w:r w:rsidRPr="00757806">
        <w:rPr>
          <w:rFonts w:ascii="Calibri" w:hAnsi="Calibri" w:cs="Calibri"/>
          <w:b/>
          <w:bCs/>
          <w:sz w:val="20"/>
          <w:szCs w:val="22"/>
        </w:rPr>
        <w:t xml:space="preserve"> – </w:t>
      </w:r>
      <w:r w:rsidR="00693E55" w:rsidRPr="00757806">
        <w:rPr>
          <w:rFonts w:ascii="Calibri" w:hAnsi="Calibri" w:cs="Calibri"/>
          <w:b/>
          <w:bCs/>
          <w:sz w:val="20"/>
          <w:szCs w:val="22"/>
        </w:rPr>
        <w:t>Les concurrents.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 Le concours « Les Trophées de l’Ingénierie Performante » est ouvert aux maîtres d’œuvre et ingénieurs concepteurs de solutions </w:t>
      </w:r>
      <w:r w:rsidR="00124D8D" w:rsidRPr="00757806">
        <w:rPr>
          <w:rFonts w:ascii="Calibri" w:hAnsi="Calibri" w:cs="Calibri"/>
          <w:bCs/>
          <w:sz w:val="20"/>
          <w:szCs w:val="22"/>
        </w:rPr>
        <w:t xml:space="preserve">énergétiquement 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et </w:t>
      </w:r>
      <w:r w:rsidR="00124D8D" w:rsidRPr="00757806">
        <w:rPr>
          <w:rFonts w:ascii="Calibri" w:hAnsi="Calibri" w:cs="Calibri"/>
          <w:bCs/>
          <w:sz w:val="20"/>
          <w:szCs w:val="22"/>
        </w:rPr>
        <w:t xml:space="preserve">thermiquement 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efficaces pour des bâtiments neufs ou rénovés. </w:t>
      </w:r>
      <w:r w:rsidR="00693E55" w:rsidRPr="00757806">
        <w:rPr>
          <w:rFonts w:ascii="Calibri" w:hAnsi="Calibri" w:cs="Calibri"/>
          <w:b/>
          <w:bCs/>
          <w:sz w:val="20"/>
          <w:szCs w:val="22"/>
        </w:rPr>
        <w:t>Ils devront être impliqués dans le projet qu’ils présenteront dans leur dossier de candidature</w:t>
      </w:r>
      <w:r w:rsidR="00693E55" w:rsidRPr="00757806">
        <w:rPr>
          <w:rFonts w:ascii="Calibri" w:hAnsi="Calibri" w:cs="Calibri"/>
          <w:bCs/>
          <w:sz w:val="20"/>
          <w:szCs w:val="22"/>
        </w:rPr>
        <w:t>.</w:t>
      </w:r>
      <w:r w:rsidR="00124D8D" w:rsidRPr="00757806">
        <w:rPr>
          <w:rFonts w:ascii="Calibri" w:hAnsi="Calibri" w:cs="Calibri"/>
          <w:bCs/>
          <w:sz w:val="20"/>
          <w:szCs w:val="22"/>
        </w:rPr>
        <w:t xml:space="preserve"> </w:t>
      </w:r>
      <w:r w:rsidR="00693E55" w:rsidRPr="00757806">
        <w:rPr>
          <w:rFonts w:ascii="Calibri" w:hAnsi="Calibri" w:cs="Calibri"/>
          <w:bCs/>
          <w:sz w:val="20"/>
          <w:szCs w:val="22"/>
        </w:rPr>
        <w:t>Les participants s’inscrivent à titre personnel ; si un groupe de personnes souhaite s’inscrire au concours, il doit désigner un représentant.</w:t>
      </w:r>
      <w:r w:rsidR="00124D8D" w:rsidRPr="00757806">
        <w:rPr>
          <w:rFonts w:ascii="Calibri" w:hAnsi="Calibri" w:cs="Calibri"/>
          <w:bCs/>
          <w:sz w:val="20"/>
          <w:szCs w:val="22"/>
        </w:rPr>
        <w:t xml:space="preserve"> Un même concurrent peut dorénavant déposer plusieurs dossiers de candidatures.</w:t>
      </w:r>
    </w:p>
    <w:p w14:paraId="5F01BDCA" w14:textId="77777777" w:rsidR="00B27203" w:rsidRPr="00757806" w:rsidRDefault="00B27203">
      <w:pPr>
        <w:rPr>
          <w:rFonts w:ascii="Calibri" w:hAnsi="Calibri" w:cs="Calibri"/>
          <w:bCs/>
          <w:sz w:val="20"/>
          <w:szCs w:val="22"/>
        </w:rPr>
      </w:pPr>
    </w:p>
    <w:p w14:paraId="60DACD2A" w14:textId="77777777" w:rsidR="00124D8D" w:rsidRPr="00757806" w:rsidRDefault="00515580" w:rsidP="00693E55">
      <w:pPr>
        <w:rPr>
          <w:rFonts w:ascii="Calibri" w:hAnsi="Calibri" w:cs="Calibri"/>
          <w:bCs/>
          <w:sz w:val="20"/>
          <w:szCs w:val="22"/>
        </w:rPr>
      </w:pPr>
      <w:r w:rsidRPr="00757806">
        <w:rPr>
          <w:rFonts w:ascii="Calibri" w:hAnsi="Calibri" w:cs="Calibri"/>
          <w:b/>
          <w:bCs/>
          <w:sz w:val="20"/>
          <w:szCs w:val="22"/>
          <w:u w:val="single"/>
        </w:rPr>
        <w:t>Article 4</w:t>
      </w:r>
      <w:r w:rsidRPr="00757806">
        <w:rPr>
          <w:rFonts w:ascii="Calibri" w:hAnsi="Calibri" w:cs="Calibri"/>
          <w:b/>
          <w:bCs/>
          <w:sz w:val="20"/>
          <w:szCs w:val="22"/>
        </w:rPr>
        <w:t xml:space="preserve"> – </w:t>
      </w:r>
      <w:r w:rsidR="00693E55" w:rsidRPr="00757806">
        <w:rPr>
          <w:rFonts w:ascii="Calibri" w:hAnsi="Calibri" w:cs="Calibri"/>
          <w:b/>
          <w:bCs/>
          <w:sz w:val="20"/>
          <w:szCs w:val="22"/>
        </w:rPr>
        <w:t>Le dossier de candidature.</w:t>
      </w:r>
      <w:r w:rsidR="00693E55" w:rsidRPr="00757806">
        <w:rPr>
          <w:rFonts w:ascii="Calibri" w:hAnsi="Calibri" w:cs="Calibri"/>
          <w:bCs/>
          <w:sz w:val="20"/>
          <w:szCs w:val="22"/>
        </w:rPr>
        <w:t xml:space="preserve"> Les participants au concours soumettront un dossier technique qui doit permettre au jury d’apprécier leur réalisation de manière globale.</w:t>
      </w:r>
      <w:r w:rsidR="00124D8D" w:rsidRPr="00757806">
        <w:rPr>
          <w:rFonts w:ascii="Calibri" w:hAnsi="Calibri" w:cs="Calibri"/>
          <w:bCs/>
          <w:sz w:val="20"/>
          <w:szCs w:val="22"/>
        </w:rPr>
        <w:t xml:space="preserve"> Le dossier de candidature est fourni par les organisateurs. </w:t>
      </w:r>
      <w:r w:rsidR="00124D8D" w:rsidRPr="00757806">
        <w:rPr>
          <w:rFonts w:ascii="Calibri" w:hAnsi="Calibri" w:cs="Calibri"/>
          <w:b/>
          <w:bCs/>
          <w:sz w:val="20"/>
          <w:szCs w:val="22"/>
        </w:rPr>
        <w:t xml:space="preserve">Ce document sera le seul étudié par les membres du jury. </w:t>
      </w:r>
    </w:p>
    <w:p w14:paraId="44FDBBD8" w14:textId="77777777" w:rsidR="00124D8D" w:rsidRPr="00757806" w:rsidRDefault="00693E55" w:rsidP="00693E55">
      <w:pPr>
        <w:rPr>
          <w:rFonts w:ascii="Calibri" w:hAnsi="Calibri" w:cs="Calibri"/>
          <w:bCs/>
          <w:sz w:val="20"/>
          <w:szCs w:val="22"/>
        </w:rPr>
      </w:pPr>
      <w:r w:rsidRPr="00757806">
        <w:rPr>
          <w:rFonts w:ascii="Calibri" w:hAnsi="Calibri" w:cs="Calibri"/>
          <w:bCs/>
          <w:sz w:val="20"/>
          <w:szCs w:val="22"/>
        </w:rPr>
        <w:t>Ce dossier de candidature est mis à disposition</w:t>
      </w:r>
      <w:r w:rsidR="00124D8D" w:rsidRPr="00757806">
        <w:rPr>
          <w:rFonts w:ascii="Calibri" w:hAnsi="Calibri" w:cs="Calibri"/>
          <w:bCs/>
          <w:sz w:val="20"/>
          <w:szCs w:val="22"/>
        </w:rPr>
        <w:t xml:space="preserve"> : </w:t>
      </w:r>
    </w:p>
    <w:p w14:paraId="551C2369" w14:textId="77777777" w:rsidR="00124D8D" w:rsidRPr="00757806" w:rsidRDefault="0079416C" w:rsidP="00757806">
      <w:pPr>
        <w:pStyle w:val="Paragraphedeliste"/>
        <w:numPr>
          <w:ilvl w:val="0"/>
          <w:numId w:val="1"/>
        </w:numPr>
        <w:rPr>
          <w:rFonts w:ascii="Calibri" w:hAnsi="Calibri" w:cs="Calibri"/>
          <w:bCs/>
          <w:sz w:val="20"/>
          <w:szCs w:val="22"/>
        </w:rPr>
      </w:pPr>
      <w:r>
        <w:rPr>
          <w:rFonts w:ascii="Calibri" w:hAnsi="Calibri" w:cs="Calibri"/>
          <w:bCs/>
          <w:sz w:val="20"/>
          <w:szCs w:val="22"/>
        </w:rPr>
        <w:t>S</w:t>
      </w:r>
      <w:r w:rsidR="00693E55" w:rsidRPr="00757806">
        <w:rPr>
          <w:rFonts w:ascii="Calibri" w:hAnsi="Calibri" w:cs="Calibri"/>
          <w:bCs/>
          <w:sz w:val="20"/>
          <w:szCs w:val="22"/>
        </w:rPr>
        <w:t>ur les sites internet d’ICO (</w:t>
      </w:r>
      <w:hyperlink r:id="rId10" w:history="1">
        <w:r w:rsidR="00124D8D" w:rsidRPr="00757806">
          <w:rPr>
            <w:rStyle w:val="Lienhypertexte"/>
            <w:rFonts w:ascii="Calibri" w:hAnsi="Calibri" w:cs="Calibri"/>
            <w:sz w:val="20"/>
            <w:szCs w:val="22"/>
          </w:rPr>
          <w:t>www.</w:t>
        </w:r>
        <w:r w:rsidR="00124D8D" w:rsidRPr="00757806">
          <w:rPr>
            <w:rStyle w:val="Lienhypertexte"/>
            <w:rFonts w:ascii="Calibri" w:hAnsi="Calibri"/>
            <w:sz w:val="20"/>
            <w:szCs w:val="22"/>
          </w:rPr>
          <w:t>association-ico.fr</w:t>
        </w:r>
      </w:hyperlink>
      <w:r w:rsidR="00124D8D" w:rsidRPr="00757806">
        <w:rPr>
          <w:rFonts w:ascii="Calibri" w:hAnsi="Calibri" w:cs="Calibri"/>
          <w:bCs/>
          <w:sz w:val="20"/>
          <w:szCs w:val="22"/>
        </w:rPr>
        <w:t>)</w:t>
      </w:r>
      <w:r w:rsidR="00124D8D" w:rsidRPr="00757806">
        <w:rPr>
          <w:rStyle w:val="srsaurl"/>
          <w:rFonts w:ascii="Calibri" w:hAnsi="Calibri"/>
          <w:sz w:val="20"/>
          <w:szCs w:val="22"/>
        </w:rPr>
        <w:t xml:space="preserve"> ,</w:t>
      </w:r>
      <w:r w:rsidR="00124D8D" w:rsidRPr="00757806">
        <w:rPr>
          <w:rFonts w:ascii="Calibri" w:hAnsi="Calibri" w:cs="Calibri"/>
          <w:bCs/>
          <w:sz w:val="20"/>
          <w:szCs w:val="22"/>
        </w:rPr>
        <w:t xml:space="preserve"> de CFP (</w:t>
      </w:r>
      <w:hyperlink r:id="rId11" w:history="1">
        <w:r w:rsidR="00124D8D" w:rsidRPr="00757806">
          <w:rPr>
            <w:rStyle w:val="Lienhypertexte"/>
            <w:rFonts w:ascii="Calibri" w:hAnsi="Calibri" w:cs="Calibri"/>
            <w:sz w:val="20"/>
            <w:szCs w:val="22"/>
          </w:rPr>
          <w:t>www.lebatimentperformant.fr</w:t>
        </w:r>
      </w:hyperlink>
      <w:r w:rsidR="00693E55" w:rsidRPr="00757806">
        <w:rPr>
          <w:rFonts w:ascii="Calibri" w:hAnsi="Calibri" w:cs="Calibri"/>
          <w:bCs/>
          <w:sz w:val="20"/>
          <w:szCs w:val="22"/>
        </w:rPr>
        <w:t>)</w:t>
      </w:r>
      <w:r w:rsidR="00124D8D" w:rsidRPr="00757806">
        <w:rPr>
          <w:rFonts w:ascii="Calibri" w:hAnsi="Calibri" w:cs="Calibri"/>
          <w:bCs/>
          <w:sz w:val="20"/>
          <w:szCs w:val="22"/>
        </w:rPr>
        <w:t xml:space="preserve"> et de Cegibat (</w:t>
      </w:r>
      <w:hyperlink r:id="rId12" w:history="1">
        <w:r w:rsidR="00124D8D" w:rsidRPr="00757806">
          <w:rPr>
            <w:rStyle w:val="Lienhypertexte"/>
            <w:rFonts w:ascii="Calibri" w:hAnsi="Calibri" w:cs="Calibri"/>
            <w:sz w:val="20"/>
            <w:szCs w:val="22"/>
          </w:rPr>
          <w:t>www.cegibat.grdf.fr</w:t>
        </w:r>
      </w:hyperlink>
      <w:r w:rsidR="00124D8D" w:rsidRPr="00757806">
        <w:rPr>
          <w:rFonts w:ascii="Calibri" w:hAnsi="Calibri" w:cs="Calibri"/>
          <w:bCs/>
          <w:sz w:val="20"/>
          <w:szCs w:val="22"/>
        </w:rPr>
        <w:t>).</w:t>
      </w:r>
    </w:p>
    <w:p w14:paraId="33875A19" w14:textId="77777777" w:rsidR="00757806" w:rsidRPr="00757806" w:rsidRDefault="00124D8D" w:rsidP="00757806">
      <w:pPr>
        <w:pStyle w:val="Paragraphedeliste"/>
        <w:numPr>
          <w:ilvl w:val="0"/>
          <w:numId w:val="1"/>
        </w:numPr>
        <w:rPr>
          <w:rFonts w:ascii="Calibri" w:hAnsi="Calibri" w:cs="Calibri"/>
          <w:bCs/>
          <w:sz w:val="20"/>
          <w:szCs w:val="22"/>
        </w:rPr>
      </w:pPr>
      <w:r w:rsidRPr="00757806">
        <w:rPr>
          <w:rFonts w:ascii="Calibri" w:hAnsi="Calibri" w:cs="Calibri"/>
          <w:bCs/>
          <w:sz w:val="20"/>
          <w:szCs w:val="22"/>
        </w:rPr>
        <w:t>Par téléchargement dans l</w:t>
      </w:r>
      <w:r w:rsidR="0079416C">
        <w:rPr>
          <w:rFonts w:ascii="Calibri" w:hAnsi="Calibri" w:cs="Calibri"/>
          <w:bCs/>
          <w:sz w:val="20"/>
          <w:szCs w:val="22"/>
        </w:rPr>
        <w:t>es différents médias liés à CF</w:t>
      </w:r>
      <w:r w:rsidR="00C740E2">
        <w:rPr>
          <w:rFonts w:ascii="Calibri" w:hAnsi="Calibri" w:cs="Calibri"/>
          <w:bCs/>
          <w:sz w:val="20"/>
          <w:szCs w:val="22"/>
        </w:rPr>
        <w:t>P</w:t>
      </w:r>
      <w:r w:rsidR="0079416C">
        <w:rPr>
          <w:rFonts w:ascii="Calibri" w:hAnsi="Calibri" w:cs="Calibri"/>
          <w:bCs/>
          <w:sz w:val="20"/>
          <w:szCs w:val="22"/>
        </w:rPr>
        <w:t xml:space="preserve"> </w:t>
      </w:r>
      <w:r w:rsidRPr="00757806">
        <w:rPr>
          <w:rFonts w:ascii="Calibri" w:hAnsi="Calibri" w:cs="Calibri"/>
          <w:bCs/>
          <w:sz w:val="20"/>
          <w:szCs w:val="22"/>
        </w:rPr>
        <w:t>(e</w:t>
      </w:r>
      <w:r w:rsidR="0079416C">
        <w:rPr>
          <w:rFonts w:ascii="Calibri" w:hAnsi="Calibri" w:cs="Calibri"/>
          <w:bCs/>
          <w:sz w:val="20"/>
          <w:szCs w:val="22"/>
        </w:rPr>
        <w:t>-</w:t>
      </w:r>
      <w:proofErr w:type="spellStart"/>
      <w:r w:rsidRPr="00757806">
        <w:rPr>
          <w:rFonts w:ascii="Calibri" w:hAnsi="Calibri" w:cs="Calibri"/>
          <w:bCs/>
          <w:sz w:val="20"/>
          <w:szCs w:val="22"/>
        </w:rPr>
        <w:t>mag</w:t>
      </w:r>
      <w:proofErr w:type="spellEnd"/>
      <w:r w:rsidRPr="00757806">
        <w:rPr>
          <w:rFonts w:ascii="Calibri" w:hAnsi="Calibri" w:cs="Calibri"/>
          <w:bCs/>
          <w:sz w:val="20"/>
          <w:szCs w:val="22"/>
        </w:rPr>
        <w:t xml:space="preserve">, </w:t>
      </w:r>
      <w:r w:rsidR="00757806" w:rsidRPr="00757806">
        <w:rPr>
          <w:rFonts w:ascii="Calibri" w:hAnsi="Calibri" w:cs="Calibri"/>
          <w:bCs/>
          <w:sz w:val="20"/>
          <w:szCs w:val="22"/>
        </w:rPr>
        <w:t>etc.)</w:t>
      </w:r>
      <w:r w:rsidR="0079416C">
        <w:rPr>
          <w:rFonts w:ascii="Calibri" w:hAnsi="Calibri" w:cs="Calibri"/>
          <w:bCs/>
          <w:sz w:val="20"/>
          <w:szCs w:val="22"/>
        </w:rPr>
        <w:t>.</w:t>
      </w:r>
    </w:p>
    <w:p w14:paraId="6A983A96" w14:textId="77777777" w:rsidR="00757806" w:rsidRPr="00757806" w:rsidRDefault="00757806" w:rsidP="00757806">
      <w:pPr>
        <w:pStyle w:val="Paragraphedeliste"/>
        <w:numPr>
          <w:ilvl w:val="0"/>
          <w:numId w:val="1"/>
        </w:numPr>
        <w:rPr>
          <w:rFonts w:ascii="Calibri" w:hAnsi="Calibri" w:cs="Calibri"/>
          <w:bCs/>
          <w:sz w:val="20"/>
          <w:szCs w:val="22"/>
        </w:rPr>
      </w:pPr>
      <w:r w:rsidRPr="00757806">
        <w:rPr>
          <w:rFonts w:ascii="Calibri" w:hAnsi="Calibri" w:cs="Calibri"/>
          <w:bCs/>
          <w:sz w:val="20"/>
          <w:szCs w:val="22"/>
        </w:rPr>
        <w:t>Par simple demande aux organisateurs du concours</w:t>
      </w:r>
      <w:r w:rsidR="0079416C">
        <w:rPr>
          <w:rFonts w:ascii="Calibri" w:hAnsi="Calibri" w:cs="Calibri"/>
          <w:bCs/>
          <w:sz w:val="20"/>
          <w:szCs w:val="22"/>
        </w:rPr>
        <w:t>.</w:t>
      </w:r>
    </w:p>
    <w:p w14:paraId="6D0C6D99" w14:textId="77777777" w:rsidR="00757806" w:rsidRPr="00757806" w:rsidRDefault="00757806" w:rsidP="00757806">
      <w:pPr>
        <w:rPr>
          <w:rFonts w:ascii="Calibri" w:hAnsi="Calibri" w:cs="Calibri"/>
          <w:bCs/>
          <w:sz w:val="20"/>
          <w:szCs w:val="22"/>
        </w:rPr>
      </w:pPr>
      <w:r w:rsidRPr="00757806">
        <w:rPr>
          <w:rFonts w:ascii="Calibri" w:hAnsi="Calibri" w:cs="Calibri"/>
          <w:bCs/>
          <w:sz w:val="20"/>
          <w:szCs w:val="22"/>
        </w:rPr>
        <w:t xml:space="preserve">Les concurrents sont invités à </w:t>
      </w:r>
      <w:r w:rsidRPr="00757806">
        <w:rPr>
          <w:rFonts w:ascii="Calibri" w:hAnsi="Calibri" w:cs="Calibri"/>
          <w:b/>
          <w:bCs/>
          <w:sz w:val="20"/>
          <w:szCs w:val="22"/>
        </w:rPr>
        <w:t xml:space="preserve">enrichir le dossier de candidature </w:t>
      </w:r>
      <w:r w:rsidRPr="00757806">
        <w:rPr>
          <w:rFonts w:ascii="Calibri" w:hAnsi="Calibri" w:cs="Calibri"/>
          <w:bCs/>
          <w:sz w:val="20"/>
          <w:szCs w:val="22"/>
        </w:rPr>
        <w:t>de fiches et descriptions techniques ainsi que, selon l'avancement du projet, de photographies, d'images de synthèse, de schémas ou de plans, etc.</w:t>
      </w:r>
    </w:p>
    <w:p w14:paraId="10D57002" w14:textId="1C08300E" w:rsidR="00B27203" w:rsidRPr="00757806" w:rsidRDefault="00757806" w:rsidP="00757806">
      <w:pPr>
        <w:rPr>
          <w:rFonts w:ascii="Calibri" w:hAnsi="Calibri" w:cs="Calibri"/>
          <w:bCs/>
          <w:i/>
          <w:iCs/>
          <w:sz w:val="20"/>
          <w:szCs w:val="22"/>
        </w:rPr>
      </w:pPr>
      <w:r w:rsidRPr="00757806">
        <w:rPr>
          <w:rFonts w:ascii="Calibri" w:hAnsi="Calibri" w:cs="Calibri"/>
          <w:bCs/>
          <w:i/>
          <w:iCs/>
          <w:sz w:val="20"/>
          <w:szCs w:val="22"/>
        </w:rPr>
        <w:t xml:space="preserve">Ces documents seront destinés à la communication sur l'événement </w:t>
      </w:r>
      <w:r w:rsidRPr="00757806">
        <w:rPr>
          <w:rFonts w:ascii="Calibri" w:hAnsi="Calibri" w:cs="Calibri"/>
          <w:b/>
          <w:bCs/>
          <w:i/>
          <w:iCs/>
          <w:sz w:val="20"/>
          <w:szCs w:val="22"/>
        </w:rPr>
        <w:t>« Les Trophées de l’Ingénierie Performante 201</w:t>
      </w:r>
      <w:r w:rsidR="009C266C">
        <w:rPr>
          <w:rFonts w:ascii="Calibri" w:hAnsi="Calibri" w:cs="Calibri"/>
          <w:b/>
          <w:bCs/>
          <w:i/>
          <w:iCs/>
          <w:sz w:val="20"/>
          <w:szCs w:val="22"/>
        </w:rPr>
        <w:t>9</w:t>
      </w:r>
      <w:r w:rsidRPr="00757806">
        <w:rPr>
          <w:rFonts w:ascii="Calibri" w:hAnsi="Calibri" w:cs="Calibri"/>
          <w:b/>
          <w:bCs/>
          <w:i/>
          <w:iCs/>
          <w:sz w:val="20"/>
          <w:szCs w:val="22"/>
        </w:rPr>
        <w:t xml:space="preserve"> CFP-ICO » </w:t>
      </w:r>
      <w:r w:rsidRPr="00757806">
        <w:rPr>
          <w:rFonts w:ascii="Calibri" w:hAnsi="Calibri" w:cs="Calibri"/>
          <w:bCs/>
          <w:i/>
          <w:iCs/>
          <w:sz w:val="20"/>
          <w:szCs w:val="22"/>
        </w:rPr>
        <w:t>à l'issue de la remise des prix et à la publication des projets des gagnants et candidats dans CFP.</w:t>
      </w:r>
    </w:p>
    <w:p w14:paraId="6736C614" w14:textId="77777777" w:rsidR="00757806" w:rsidRPr="00757806" w:rsidRDefault="00757806" w:rsidP="00757806">
      <w:pPr>
        <w:rPr>
          <w:rFonts w:ascii="Calibri" w:hAnsi="Calibri" w:cs="Calibri"/>
          <w:bCs/>
          <w:sz w:val="20"/>
          <w:szCs w:val="22"/>
        </w:rPr>
      </w:pPr>
    </w:p>
    <w:p w14:paraId="3B59E6CD" w14:textId="77777777" w:rsidR="00B27203" w:rsidRPr="00757806" w:rsidRDefault="00515580" w:rsidP="00693E55">
      <w:pPr>
        <w:rPr>
          <w:rFonts w:ascii="Calibri" w:hAnsi="Calibri"/>
          <w:sz w:val="20"/>
        </w:rPr>
      </w:pPr>
      <w:r w:rsidRPr="00757806">
        <w:rPr>
          <w:rFonts w:ascii="Calibri" w:hAnsi="Calibri" w:cs="Calibri"/>
          <w:b/>
          <w:bCs/>
          <w:sz w:val="20"/>
          <w:szCs w:val="22"/>
          <w:u w:val="single"/>
        </w:rPr>
        <w:t>Article 5</w:t>
      </w:r>
      <w:r w:rsidRPr="00757806">
        <w:rPr>
          <w:rFonts w:ascii="Calibri" w:hAnsi="Calibri" w:cs="Calibri"/>
          <w:b/>
          <w:bCs/>
          <w:sz w:val="20"/>
          <w:szCs w:val="22"/>
        </w:rPr>
        <w:t xml:space="preserve"> – Le jury.</w:t>
      </w:r>
      <w:r w:rsidRPr="00757806">
        <w:rPr>
          <w:rFonts w:ascii="Calibri" w:hAnsi="Calibri" w:cs="Calibri"/>
          <w:bCs/>
          <w:sz w:val="20"/>
          <w:szCs w:val="22"/>
        </w:rPr>
        <w:t xml:space="preserve"> ICO et CFP réuniront un jury de personnalités du secteur de l’ingénierie du bâtiment pour départager les candidats. Ses membres apprécieront les dossiers selon quatre principaux critères :</w:t>
      </w:r>
      <w:r w:rsidRPr="00757806">
        <w:rPr>
          <w:rFonts w:ascii="Calibri" w:hAnsi="Calibri"/>
          <w:sz w:val="20"/>
        </w:rPr>
        <w:t xml:space="preserve"> la cohérence du projet ; l’énergie et l’efficience énergétique ; l’innovation ; le critère « m</w:t>
      </w:r>
      <w:r w:rsidR="00757806" w:rsidRPr="00757806">
        <w:rPr>
          <w:rFonts w:ascii="Calibri" w:hAnsi="Calibri"/>
          <w:sz w:val="20"/>
        </w:rPr>
        <w:t>ulti-confort » des réalisations, le commissionnement et la gestion d’exploitation.</w:t>
      </w:r>
      <w:r w:rsidRPr="00757806">
        <w:rPr>
          <w:rFonts w:ascii="Calibri" w:hAnsi="Calibri"/>
          <w:sz w:val="20"/>
        </w:rPr>
        <w:t xml:space="preserve"> </w:t>
      </w:r>
    </w:p>
    <w:p w14:paraId="02F811C8" w14:textId="77777777" w:rsidR="00693E55" w:rsidRPr="00757806" w:rsidRDefault="00693E55">
      <w:pPr>
        <w:rPr>
          <w:rFonts w:ascii="Calibri" w:hAnsi="Calibri"/>
          <w:sz w:val="20"/>
        </w:rPr>
      </w:pPr>
    </w:p>
    <w:p w14:paraId="01CEC7D4" w14:textId="385783E9" w:rsidR="00693E55" w:rsidRPr="00757806" w:rsidRDefault="00693E55" w:rsidP="00693E55">
      <w:pPr>
        <w:rPr>
          <w:rFonts w:ascii="Calibri" w:hAnsi="Calibri"/>
          <w:sz w:val="20"/>
        </w:rPr>
      </w:pPr>
      <w:r w:rsidRPr="00757806">
        <w:rPr>
          <w:rFonts w:ascii="Calibri" w:hAnsi="Calibri"/>
          <w:b/>
          <w:sz w:val="20"/>
          <w:u w:val="single"/>
        </w:rPr>
        <w:t>Article 6</w:t>
      </w:r>
      <w:r w:rsidRPr="00757806">
        <w:rPr>
          <w:rFonts w:ascii="Calibri" w:hAnsi="Calibri"/>
          <w:b/>
          <w:sz w:val="20"/>
        </w:rPr>
        <w:t xml:space="preserve"> – Les prix.</w:t>
      </w:r>
      <w:r w:rsidRPr="00757806">
        <w:rPr>
          <w:rFonts w:ascii="Calibri" w:hAnsi="Calibri"/>
          <w:sz w:val="20"/>
        </w:rPr>
        <w:t xml:space="preserve"> Le jury remettra </w:t>
      </w:r>
      <w:r w:rsidR="00E33A52">
        <w:rPr>
          <w:rFonts w:ascii="Calibri" w:hAnsi="Calibri"/>
          <w:sz w:val="20"/>
        </w:rPr>
        <w:t>cinq</w:t>
      </w:r>
      <w:r w:rsidRPr="00757806">
        <w:rPr>
          <w:rFonts w:ascii="Calibri" w:hAnsi="Calibri"/>
          <w:sz w:val="20"/>
        </w:rPr>
        <w:t xml:space="preserve"> prix : un prix de la </w:t>
      </w:r>
      <w:r w:rsidRPr="00757806">
        <w:rPr>
          <w:rFonts w:ascii="Calibri" w:hAnsi="Calibri"/>
          <w:b/>
          <w:sz w:val="20"/>
        </w:rPr>
        <w:t>conception globale</w:t>
      </w:r>
      <w:r w:rsidRPr="00757806">
        <w:rPr>
          <w:rFonts w:ascii="Calibri" w:hAnsi="Calibri"/>
          <w:sz w:val="20"/>
        </w:rPr>
        <w:t xml:space="preserve">, un prix </w:t>
      </w:r>
      <w:r w:rsidRPr="00757806">
        <w:rPr>
          <w:rFonts w:ascii="Calibri" w:hAnsi="Calibri"/>
          <w:b/>
          <w:sz w:val="20"/>
        </w:rPr>
        <w:t>des équipements techniques</w:t>
      </w:r>
      <w:r w:rsidRPr="00757806">
        <w:rPr>
          <w:rFonts w:ascii="Calibri" w:hAnsi="Calibri"/>
          <w:sz w:val="20"/>
        </w:rPr>
        <w:t xml:space="preserve">, un prix </w:t>
      </w:r>
      <w:r w:rsidRPr="00757806">
        <w:rPr>
          <w:rFonts w:ascii="Calibri" w:hAnsi="Calibri"/>
          <w:b/>
          <w:sz w:val="20"/>
        </w:rPr>
        <w:t>coup de cœur du jury</w:t>
      </w:r>
      <w:r w:rsidR="00E33A52">
        <w:rPr>
          <w:rFonts w:ascii="Calibri" w:hAnsi="Calibri"/>
          <w:b/>
          <w:sz w:val="20"/>
        </w:rPr>
        <w:t xml:space="preserve">, </w:t>
      </w:r>
      <w:r w:rsidR="00E33A52" w:rsidRPr="00E33A52">
        <w:rPr>
          <w:rFonts w:ascii="Calibri" w:hAnsi="Calibri"/>
          <w:sz w:val="20"/>
        </w:rPr>
        <w:t>un prix de la</w:t>
      </w:r>
      <w:r w:rsidR="00E33A52">
        <w:rPr>
          <w:rFonts w:ascii="Calibri" w:hAnsi="Calibri"/>
          <w:b/>
          <w:sz w:val="20"/>
        </w:rPr>
        <w:t xml:space="preserve"> rénovation en copropriété</w:t>
      </w:r>
      <w:r w:rsidRPr="00757806">
        <w:rPr>
          <w:rFonts w:ascii="Calibri" w:hAnsi="Calibri"/>
          <w:b/>
          <w:sz w:val="20"/>
        </w:rPr>
        <w:t xml:space="preserve"> </w:t>
      </w:r>
      <w:r w:rsidRPr="00757806">
        <w:rPr>
          <w:rFonts w:ascii="Calibri" w:hAnsi="Calibri"/>
          <w:sz w:val="20"/>
        </w:rPr>
        <w:t>et un prix</w:t>
      </w:r>
      <w:r w:rsidRPr="00757806">
        <w:rPr>
          <w:rFonts w:ascii="Calibri" w:hAnsi="Calibri"/>
          <w:b/>
          <w:sz w:val="20"/>
        </w:rPr>
        <w:t xml:space="preserve"> GRDF-Cegibat « Opération remarquable »</w:t>
      </w:r>
      <w:r w:rsidRPr="00757806">
        <w:rPr>
          <w:rFonts w:ascii="Calibri" w:hAnsi="Calibri"/>
          <w:sz w:val="20"/>
        </w:rPr>
        <w:t xml:space="preserve">. </w:t>
      </w:r>
      <w:bookmarkStart w:id="0" w:name="_GoBack"/>
      <w:bookmarkEnd w:id="0"/>
    </w:p>
    <w:p w14:paraId="74D4BCE6" w14:textId="77777777" w:rsidR="00693E55" w:rsidRPr="00757806" w:rsidRDefault="00693E55" w:rsidP="00693E55">
      <w:pPr>
        <w:rPr>
          <w:rFonts w:ascii="Calibri" w:hAnsi="Calibri"/>
          <w:sz w:val="20"/>
        </w:rPr>
      </w:pPr>
      <w:r w:rsidRPr="00757806">
        <w:rPr>
          <w:rFonts w:ascii="Calibri" w:hAnsi="Calibri"/>
          <w:sz w:val="20"/>
        </w:rPr>
        <w:t>Le jury est souverain dans ses décisions.</w:t>
      </w:r>
    </w:p>
    <w:p w14:paraId="205FACD4" w14:textId="7DBCC2AB" w:rsidR="00693E55" w:rsidRPr="00757806" w:rsidRDefault="00693E55">
      <w:pPr>
        <w:rPr>
          <w:rFonts w:ascii="Calibri" w:hAnsi="Calibri"/>
          <w:b/>
          <w:sz w:val="20"/>
        </w:rPr>
      </w:pPr>
      <w:r w:rsidRPr="00757806">
        <w:rPr>
          <w:rFonts w:ascii="Calibri" w:hAnsi="Calibri"/>
          <w:sz w:val="20"/>
        </w:rPr>
        <w:t xml:space="preserve">Un prix invité sera également remis lors de la cérémonie, celui de </w:t>
      </w:r>
      <w:r w:rsidR="00974D70">
        <w:rPr>
          <w:rFonts w:ascii="Calibri" w:hAnsi="Calibri"/>
          <w:sz w:val="20"/>
        </w:rPr>
        <w:t xml:space="preserve">l’Education à </w:t>
      </w:r>
      <w:r w:rsidRPr="00757806">
        <w:rPr>
          <w:rFonts w:ascii="Calibri" w:hAnsi="Calibri"/>
          <w:sz w:val="20"/>
        </w:rPr>
        <w:t xml:space="preserve">la maquette numérique </w:t>
      </w:r>
      <w:r w:rsidR="00974D70">
        <w:rPr>
          <w:rFonts w:ascii="Calibri" w:hAnsi="Calibri"/>
          <w:sz w:val="20"/>
        </w:rPr>
        <w:t xml:space="preserve">en partenariat avec </w:t>
      </w:r>
      <w:r w:rsidR="004E6294">
        <w:rPr>
          <w:rFonts w:ascii="Calibri" w:hAnsi="Calibri"/>
          <w:sz w:val="20"/>
        </w:rPr>
        <w:t>Trimble France et le Lycée Raspail</w:t>
      </w:r>
      <w:r w:rsidRPr="00757806">
        <w:rPr>
          <w:rFonts w:ascii="Calibri" w:hAnsi="Calibri"/>
          <w:sz w:val="20"/>
        </w:rPr>
        <w:t>. Celui-ci est issu d’un concours faisant l’objet d’une démarche indépendante.</w:t>
      </w:r>
    </w:p>
    <w:p w14:paraId="1175F4CB" w14:textId="77777777" w:rsidR="00B27203" w:rsidRPr="00757806" w:rsidRDefault="00B27203">
      <w:pPr>
        <w:rPr>
          <w:rFonts w:ascii="Calibri" w:hAnsi="Calibri"/>
          <w:sz w:val="20"/>
        </w:rPr>
      </w:pPr>
    </w:p>
    <w:p w14:paraId="753CD6ED" w14:textId="7301D363" w:rsidR="00B27203" w:rsidRPr="00757806" w:rsidRDefault="00515580">
      <w:pPr>
        <w:rPr>
          <w:rFonts w:ascii="Calibri" w:hAnsi="Calibri"/>
          <w:sz w:val="20"/>
        </w:rPr>
      </w:pPr>
      <w:r w:rsidRPr="00757806">
        <w:rPr>
          <w:rFonts w:ascii="Calibri" w:hAnsi="Calibri"/>
          <w:b/>
          <w:sz w:val="20"/>
          <w:u w:val="single"/>
        </w:rPr>
        <w:lastRenderedPageBreak/>
        <w:t xml:space="preserve">Article </w:t>
      </w:r>
      <w:r w:rsidR="00693E55" w:rsidRPr="00757806">
        <w:rPr>
          <w:rFonts w:ascii="Calibri" w:hAnsi="Calibri"/>
          <w:b/>
          <w:sz w:val="20"/>
          <w:u w:val="single"/>
        </w:rPr>
        <w:t>7</w:t>
      </w:r>
      <w:r w:rsidRPr="00757806">
        <w:rPr>
          <w:rFonts w:ascii="Calibri" w:hAnsi="Calibri"/>
          <w:b/>
          <w:sz w:val="20"/>
        </w:rPr>
        <w:t xml:space="preserve"> – Règlement.</w:t>
      </w:r>
      <w:r w:rsidRPr="00757806">
        <w:rPr>
          <w:rFonts w:ascii="Calibri" w:hAnsi="Calibri"/>
          <w:sz w:val="20"/>
        </w:rPr>
        <w:t xml:space="preserve"> Les termes du présent règlement ont été validés par Jean-Pascal Roche, Président de l’Association ICO, et </w:t>
      </w:r>
      <w:r w:rsidR="009C266C">
        <w:rPr>
          <w:rFonts w:ascii="Calibri" w:hAnsi="Calibri"/>
          <w:sz w:val="20"/>
        </w:rPr>
        <w:t>Faustine Sappa</w:t>
      </w:r>
      <w:r w:rsidRPr="00757806">
        <w:rPr>
          <w:rFonts w:ascii="Calibri" w:hAnsi="Calibri"/>
          <w:sz w:val="20"/>
        </w:rPr>
        <w:t>, Rédact</w:t>
      </w:r>
      <w:r w:rsidR="009C266C">
        <w:rPr>
          <w:rFonts w:ascii="Calibri" w:hAnsi="Calibri"/>
          <w:sz w:val="20"/>
        </w:rPr>
        <w:t>rice</w:t>
      </w:r>
      <w:r w:rsidRPr="00757806">
        <w:rPr>
          <w:rFonts w:ascii="Calibri" w:hAnsi="Calibri"/>
          <w:sz w:val="20"/>
        </w:rPr>
        <w:t xml:space="preserve"> en chef de CFP.</w:t>
      </w:r>
    </w:p>
    <w:sectPr w:rsidR="00B27203" w:rsidRPr="00757806" w:rsidSect="00757806">
      <w:type w:val="continuous"/>
      <w:pgSz w:w="11906" w:h="16838"/>
      <w:pgMar w:top="851" w:right="1418" w:bottom="1418" w:left="1418" w:header="709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911AA" w14:textId="77777777" w:rsidR="00265C17" w:rsidRDefault="00265C17">
      <w:r>
        <w:separator/>
      </w:r>
    </w:p>
  </w:endnote>
  <w:endnote w:type="continuationSeparator" w:id="0">
    <w:p w14:paraId="16914DCC" w14:textId="77777777" w:rsidR="00265C17" w:rsidRDefault="00265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50A67" w14:textId="618F0BD2" w:rsidR="00B27203" w:rsidRPr="00E81D21" w:rsidRDefault="00515580">
    <w:pPr>
      <w:pStyle w:val="Titre1"/>
      <w:tabs>
        <w:tab w:val="center" w:pos="4337"/>
        <w:tab w:val="left" w:pos="7899"/>
      </w:tabs>
      <w:ind w:right="397"/>
      <w:jc w:val="center"/>
      <w:rPr>
        <w:rFonts w:ascii="Arial" w:hAnsi="Arial" w:cs="Arial"/>
        <w:bCs/>
        <w:i/>
        <w:sz w:val="18"/>
        <w:szCs w:val="18"/>
        <w:lang w:val="fr-FR"/>
      </w:rPr>
    </w:pPr>
    <w:r>
      <w:rPr>
        <w:rFonts w:ascii="Arial" w:hAnsi="Arial" w:cs="Arial"/>
        <w:i/>
        <w:sz w:val="18"/>
        <w:szCs w:val="18"/>
      </w:rPr>
      <w:t xml:space="preserve">Les Trophées de l’Ingénierie </w:t>
    </w:r>
    <w:proofErr w:type="spellStart"/>
    <w:r>
      <w:rPr>
        <w:rFonts w:ascii="Arial" w:hAnsi="Arial" w:cs="Arial"/>
        <w:i/>
        <w:sz w:val="18"/>
        <w:szCs w:val="18"/>
      </w:rPr>
      <w:t>Perfo</w:t>
    </w:r>
    <w:r>
      <w:rPr>
        <w:rFonts w:ascii="Arial" w:hAnsi="Arial" w:cs="Arial"/>
        <w:i/>
        <w:sz w:val="18"/>
        <w:szCs w:val="18"/>
        <w:lang w:val="fr-FR"/>
      </w:rPr>
      <w:t>r</w:t>
    </w:r>
    <w:proofErr w:type="spellEnd"/>
    <w:r>
      <w:rPr>
        <w:rFonts w:ascii="Arial" w:hAnsi="Arial" w:cs="Arial"/>
        <w:i/>
        <w:sz w:val="18"/>
        <w:szCs w:val="18"/>
      </w:rPr>
      <w:t>mante 201</w:t>
    </w:r>
    <w:r w:rsidR="009C266C">
      <w:rPr>
        <w:rFonts w:ascii="Arial" w:hAnsi="Arial" w:cs="Arial"/>
        <w:i/>
        <w:sz w:val="18"/>
        <w:szCs w:val="18"/>
        <w:lang w:val="fr-FR"/>
      </w:rPr>
      <w:t>9</w:t>
    </w:r>
    <w:r>
      <w:rPr>
        <w:rFonts w:ascii="Arial" w:hAnsi="Arial" w:cs="Arial"/>
        <w:bCs/>
        <w:i/>
        <w:sz w:val="18"/>
        <w:szCs w:val="18"/>
      </w:rPr>
      <w:t xml:space="preserve"> CFP-ICO </w:t>
    </w:r>
    <w:r w:rsidR="00E81D21">
      <w:rPr>
        <w:rFonts w:ascii="Arial" w:hAnsi="Arial" w:cs="Arial"/>
        <w:bCs/>
        <w:i/>
        <w:sz w:val="18"/>
        <w:szCs w:val="18"/>
      </w:rPr>
      <w:t>–</w:t>
    </w:r>
    <w:r>
      <w:rPr>
        <w:rFonts w:ascii="Arial" w:hAnsi="Arial" w:cs="Arial"/>
        <w:bCs/>
        <w:i/>
        <w:sz w:val="18"/>
        <w:szCs w:val="18"/>
      </w:rPr>
      <w:t xml:space="preserve"> Règlement</w:t>
    </w:r>
    <w:r w:rsidR="00E81D21">
      <w:rPr>
        <w:rFonts w:ascii="Arial" w:hAnsi="Arial" w:cs="Arial"/>
        <w:bCs/>
        <w:i/>
        <w:sz w:val="18"/>
        <w:szCs w:val="18"/>
        <w:lang w:val="fr-FR"/>
      </w:rPr>
      <w:t xml:space="preserve"> 201</w:t>
    </w:r>
    <w:r w:rsidR="009C266C">
      <w:rPr>
        <w:rFonts w:ascii="Arial" w:hAnsi="Arial" w:cs="Arial"/>
        <w:bCs/>
        <w:i/>
        <w:sz w:val="18"/>
        <w:szCs w:val="18"/>
        <w:lang w:val="fr-FR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08B06" w14:textId="77777777" w:rsidR="00265C17" w:rsidRDefault="00265C17">
      <w:r>
        <w:separator/>
      </w:r>
    </w:p>
  </w:footnote>
  <w:footnote w:type="continuationSeparator" w:id="0">
    <w:p w14:paraId="75873B6A" w14:textId="77777777" w:rsidR="00265C17" w:rsidRDefault="00265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ACC82" w14:textId="77777777" w:rsidR="00B27203" w:rsidRDefault="00B27203">
    <w:pPr>
      <w:pStyle w:val="Pieddepage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96155"/>
    <w:multiLevelType w:val="hybridMultilevel"/>
    <w:tmpl w:val="91FABF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203"/>
    <w:rsid w:val="0001521F"/>
    <w:rsid w:val="0008415B"/>
    <w:rsid w:val="000D3042"/>
    <w:rsid w:val="00124D8D"/>
    <w:rsid w:val="00265C17"/>
    <w:rsid w:val="00306CF9"/>
    <w:rsid w:val="00357176"/>
    <w:rsid w:val="003A41DA"/>
    <w:rsid w:val="004E6294"/>
    <w:rsid w:val="00515580"/>
    <w:rsid w:val="00693E55"/>
    <w:rsid w:val="00757806"/>
    <w:rsid w:val="0079416C"/>
    <w:rsid w:val="00877AD9"/>
    <w:rsid w:val="00974D70"/>
    <w:rsid w:val="009C266C"/>
    <w:rsid w:val="00A3342A"/>
    <w:rsid w:val="00A567EB"/>
    <w:rsid w:val="00A949C8"/>
    <w:rsid w:val="00AD5D82"/>
    <w:rsid w:val="00B27203"/>
    <w:rsid w:val="00C06016"/>
    <w:rsid w:val="00C740E2"/>
    <w:rsid w:val="00D14CBE"/>
    <w:rsid w:val="00E33A52"/>
    <w:rsid w:val="00E81D21"/>
    <w:rsid w:val="00F0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A1D8"/>
  <w15:docId w15:val="{342C3032-A786-4EA6-8382-7B742CF4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193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3223D6"/>
    <w:pPr>
      <w:keepNext/>
      <w:outlineLvl w:val="0"/>
    </w:pPr>
    <w:rPr>
      <w:sz w:val="2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link w:val="Pieddepage"/>
    <w:qFormat/>
    <w:rsid w:val="0086519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865193"/>
  </w:style>
  <w:style w:type="character" w:customStyle="1" w:styleId="LienInternet">
    <w:name w:val="Lien Internet"/>
    <w:rsid w:val="00865193"/>
    <w:rPr>
      <w:color w:val="0000FF"/>
      <w:u w:val="single"/>
    </w:rPr>
  </w:style>
  <w:style w:type="character" w:customStyle="1" w:styleId="TextedebullesCar">
    <w:name w:val="Texte de bulles Car"/>
    <w:link w:val="Textedebulles"/>
    <w:uiPriority w:val="99"/>
    <w:semiHidden/>
    <w:qFormat/>
    <w:rsid w:val="00865193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En-tteCar">
    <w:name w:val="En-tête Car"/>
    <w:uiPriority w:val="99"/>
    <w:qFormat/>
    <w:rsid w:val="0061006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qFormat/>
    <w:rsid w:val="003223D6"/>
    <w:rPr>
      <w:rFonts w:ascii="Times New Roman" w:eastAsia="Times New Roman" w:hAnsi="Times New Roman"/>
      <w:sz w:val="28"/>
      <w:szCs w:val="24"/>
    </w:rPr>
  </w:style>
  <w:style w:type="character" w:customStyle="1" w:styleId="srsaurl">
    <w:name w:val="srsaurl"/>
    <w:qFormat/>
    <w:rsid w:val="006A3797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Times New Roman" w:cs="Calibri"/>
    </w:rPr>
  </w:style>
  <w:style w:type="character" w:customStyle="1" w:styleId="ListLabel3">
    <w:name w:val="ListLabel 3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rsid w:val="00865193"/>
    <w:pPr>
      <w:tabs>
        <w:tab w:val="center" w:pos="4536"/>
        <w:tab w:val="right" w:pos="9072"/>
      </w:tabs>
    </w:pPr>
    <w:rPr>
      <w:lang w:val="x-none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65193"/>
    <w:rPr>
      <w:rFonts w:ascii="Tahoma" w:hAnsi="Tahoma"/>
      <w:sz w:val="16"/>
      <w:szCs w:val="16"/>
      <w:lang w:val="x-none"/>
    </w:rPr>
  </w:style>
  <w:style w:type="paragraph" w:styleId="En-tte">
    <w:name w:val="header"/>
    <w:basedOn w:val="Normal"/>
    <w:uiPriority w:val="99"/>
    <w:unhideWhenUsed/>
    <w:rsid w:val="00610063"/>
    <w:pPr>
      <w:tabs>
        <w:tab w:val="center" w:pos="4536"/>
        <w:tab w:val="right" w:pos="9072"/>
      </w:tabs>
    </w:pPr>
    <w:rPr>
      <w:lang w:val="x-none"/>
    </w:rPr>
  </w:style>
  <w:style w:type="table" w:styleId="Grilledutableau">
    <w:name w:val="Table Grid"/>
    <w:basedOn w:val="TableauNormal"/>
    <w:uiPriority w:val="59"/>
    <w:rsid w:val="00005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nhideWhenUsed/>
    <w:rsid w:val="00124D8D"/>
    <w:rPr>
      <w:color w:val="0563C1" w:themeColor="hyperlink"/>
      <w:u w:val="single"/>
    </w:rPr>
  </w:style>
  <w:style w:type="character" w:styleId="Mention">
    <w:name w:val="Mention"/>
    <w:basedOn w:val="Policepardfaut"/>
    <w:uiPriority w:val="99"/>
    <w:semiHidden/>
    <w:unhideWhenUsed/>
    <w:rsid w:val="00124D8D"/>
    <w:rPr>
      <w:color w:val="2B579A"/>
      <w:shd w:val="clear" w:color="auto" w:fill="E6E6E6"/>
    </w:rPr>
  </w:style>
  <w:style w:type="paragraph" w:styleId="Paragraphedeliste">
    <w:name w:val="List Paragraph"/>
    <w:basedOn w:val="Normal"/>
    <w:uiPriority w:val="34"/>
    <w:qFormat/>
    <w:rsid w:val="00757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egibat.grdf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batimentperformant.f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ssociation-ico.f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643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Faustine Sappa</cp:lastModifiedBy>
  <cp:revision>12</cp:revision>
  <cp:lastPrinted>2017-05-31T12:35:00Z</cp:lastPrinted>
  <dcterms:created xsi:type="dcterms:W3CDTF">2017-05-31T11:11:00Z</dcterms:created>
  <dcterms:modified xsi:type="dcterms:W3CDTF">2019-05-07T10:48:00Z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GDF SUEZ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